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DD2A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kern w:val="0"/>
          <w:sz w:val="36"/>
          <w:szCs w:val="36"/>
        </w:rPr>
      </w:pPr>
      <w:r>
        <w:rPr>
          <w:rFonts w:hint="eastAsia" w:ascii="宋体" w:hAnsi="宋体" w:eastAsia="宋体" w:cs="宋体"/>
          <w:sz w:val="24"/>
          <w:szCs w:val="24"/>
        </w:rPr>
        <w:t xml:space="preserve">        </w:t>
      </w:r>
      <w:r>
        <w:rPr>
          <w:rFonts w:hint="eastAsia" w:ascii="宋体" w:hAnsi="宋体" w:eastAsia="宋体" w:cs="宋体"/>
          <w:sz w:val="36"/>
          <w:szCs w:val="36"/>
        </w:rPr>
        <w:t xml:space="preserve"> </w:t>
      </w:r>
      <w:r>
        <w:rPr>
          <w:rStyle w:val="27"/>
          <w:rFonts w:hint="eastAsia" w:ascii="宋体" w:hAnsi="宋体" w:eastAsia="宋体" w:cs="宋体"/>
          <w:b/>
          <w:bCs/>
          <w:kern w:val="0"/>
          <w:sz w:val="36"/>
          <w:szCs w:val="36"/>
          <w:lang w:val="en-US" w:eastAsia="zh-CN"/>
        </w:rPr>
        <w:t>采购</w:t>
      </w:r>
      <w:r>
        <w:rPr>
          <w:rStyle w:val="27"/>
          <w:rFonts w:hint="eastAsia" w:ascii="宋体" w:hAnsi="宋体" w:eastAsia="宋体" w:cs="宋体"/>
          <w:b/>
          <w:bCs/>
          <w:kern w:val="0"/>
          <w:sz w:val="36"/>
          <w:szCs w:val="36"/>
        </w:rPr>
        <w:t>合同</w:t>
      </w:r>
    </w:p>
    <w:p w14:paraId="0ED3627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kern w:val="0"/>
          <w:sz w:val="24"/>
          <w:szCs w:val="24"/>
        </w:rPr>
      </w:pPr>
    </w:p>
    <w:p w14:paraId="3F57C0D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甲方(需方)：</w:t>
      </w:r>
      <w:r>
        <w:rPr>
          <w:rFonts w:hint="eastAsia" w:ascii="宋体" w:hAnsi="宋体" w:eastAsia="宋体" w:cs="宋体"/>
          <w:kern w:val="0"/>
          <w:sz w:val="24"/>
          <w:szCs w:val="24"/>
        </w:rPr>
        <w:t>南京特殊教育师范学院</w:t>
      </w:r>
      <w:r>
        <w:rPr>
          <w:rStyle w:val="27"/>
          <w:rFonts w:hint="eastAsia" w:ascii="宋体" w:hAnsi="宋体" w:eastAsia="宋体" w:cs="宋体"/>
          <w:kern w:val="0"/>
          <w:sz w:val="24"/>
          <w:szCs w:val="24"/>
        </w:rPr>
        <w:t xml:space="preserve">            </w:t>
      </w:r>
    </w:p>
    <w:p w14:paraId="248CCB7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乙方(供方)：</w:t>
      </w:r>
    </w:p>
    <w:p w14:paraId="4866A79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Style w:val="27"/>
          <w:rFonts w:hint="eastAsia" w:ascii="宋体" w:hAnsi="宋体" w:eastAsia="宋体" w:cs="宋体"/>
          <w:sz w:val="24"/>
          <w:szCs w:val="24"/>
        </w:rPr>
      </w:pPr>
      <w:r>
        <w:rPr>
          <w:rStyle w:val="27"/>
          <w:rFonts w:hint="eastAsia" w:ascii="宋体" w:hAnsi="宋体" w:eastAsia="宋体" w:cs="宋体"/>
          <w:sz w:val="24"/>
          <w:szCs w:val="24"/>
        </w:rPr>
        <w:t>根据《中华人民共和国民法典》等相关法律法规的规定，甲乙双方本着互惠互利的原则，经友好协商，就此次产品购销事宜，签订本合同。</w:t>
      </w:r>
    </w:p>
    <w:p w14:paraId="253916E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一 、</w:t>
      </w:r>
      <w:r>
        <w:rPr>
          <w:rFonts w:hint="eastAsia" w:ascii="宋体" w:hAnsi="宋体" w:eastAsia="宋体" w:cs="宋体"/>
          <w:b/>
          <w:kern w:val="0"/>
          <w:sz w:val="24"/>
          <w:szCs w:val="24"/>
          <w:lang w:val="en-US" w:eastAsia="zh-CN" w:bidi="ar-SA"/>
        </w:rPr>
        <w:t>产品内容</w:t>
      </w:r>
      <w:r>
        <w:rPr>
          <w:rStyle w:val="27"/>
          <w:rFonts w:hint="eastAsia" w:ascii="宋体" w:hAnsi="宋体" w:eastAsia="宋体" w:cs="宋体"/>
          <w:b/>
          <w:kern w:val="0"/>
          <w:sz w:val="24"/>
          <w:szCs w:val="24"/>
        </w:rPr>
        <w:t>：</w:t>
      </w:r>
    </w:p>
    <w:p w14:paraId="1A2FEF0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lang w:val="en-US" w:eastAsia="zh-CN"/>
        </w:rPr>
        <w:t>1、</w:t>
      </w:r>
      <w:r>
        <w:rPr>
          <w:rStyle w:val="27"/>
          <w:rFonts w:hint="eastAsia" w:ascii="宋体" w:hAnsi="宋体" w:eastAsia="宋体" w:cs="宋体"/>
          <w:kern w:val="0"/>
          <w:sz w:val="24"/>
          <w:szCs w:val="24"/>
        </w:rPr>
        <w:t>产品名称、数量、单价及总货款</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399"/>
        <w:gridCol w:w="2117"/>
        <w:gridCol w:w="1614"/>
        <w:gridCol w:w="1496"/>
      </w:tblGrid>
      <w:tr w14:paraId="6C48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3BF20DA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序号</w:t>
            </w:r>
          </w:p>
        </w:tc>
        <w:tc>
          <w:tcPr>
            <w:tcW w:w="2399" w:type="dxa"/>
            <w:vAlign w:val="center"/>
          </w:tcPr>
          <w:p w14:paraId="500384C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产品名称</w:t>
            </w:r>
          </w:p>
        </w:tc>
        <w:tc>
          <w:tcPr>
            <w:tcW w:w="2117" w:type="dxa"/>
            <w:vAlign w:val="center"/>
          </w:tcPr>
          <w:p w14:paraId="3209CBD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数量（套）</w:t>
            </w:r>
          </w:p>
        </w:tc>
        <w:tc>
          <w:tcPr>
            <w:tcW w:w="1614" w:type="dxa"/>
            <w:vAlign w:val="center"/>
          </w:tcPr>
          <w:p w14:paraId="3CDCDEA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单价(元)</w:t>
            </w:r>
          </w:p>
        </w:tc>
        <w:tc>
          <w:tcPr>
            <w:tcW w:w="1496" w:type="dxa"/>
            <w:vAlign w:val="center"/>
          </w:tcPr>
          <w:p w14:paraId="005587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合计(元)</w:t>
            </w:r>
          </w:p>
        </w:tc>
      </w:tr>
      <w:tr w14:paraId="030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3728309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399" w:type="dxa"/>
            <w:vAlign w:val="center"/>
          </w:tcPr>
          <w:p w14:paraId="1BDC995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117" w:type="dxa"/>
            <w:vAlign w:val="center"/>
          </w:tcPr>
          <w:p w14:paraId="78F2CCC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614" w:type="dxa"/>
            <w:vAlign w:val="center"/>
          </w:tcPr>
          <w:p w14:paraId="15A707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496" w:type="dxa"/>
            <w:vAlign w:val="center"/>
          </w:tcPr>
          <w:p w14:paraId="43D2A4F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r>
      <w:tr w14:paraId="0876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68AE894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399" w:type="dxa"/>
            <w:vAlign w:val="center"/>
          </w:tcPr>
          <w:p w14:paraId="0AD5BC1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117" w:type="dxa"/>
            <w:vAlign w:val="center"/>
          </w:tcPr>
          <w:p w14:paraId="449DB7E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614" w:type="dxa"/>
            <w:vAlign w:val="center"/>
          </w:tcPr>
          <w:p w14:paraId="71A471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496" w:type="dxa"/>
            <w:vAlign w:val="center"/>
          </w:tcPr>
          <w:p w14:paraId="4C94ED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r>
      <w:tr w14:paraId="71D0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492DAA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399" w:type="dxa"/>
            <w:vAlign w:val="center"/>
          </w:tcPr>
          <w:p w14:paraId="77F9F4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117" w:type="dxa"/>
            <w:vAlign w:val="center"/>
          </w:tcPr>
          <w:p w14:paraId="4B1D5F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614" w:type="dxa"/>
            <w:vAlign w:val="center"/>
          </w:tcPr>
          <w:p w14:paraId="40F4CA3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496" w:type="dxa"/>
            <w:vAlign w:val="center"/>
          </w:tcPr>
          <w:p w14:paraId="09FE09F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r>
      <w:tr w14:paraId="4B96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7F48CB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399" w:type="dxa"/>
            <w:vAlign w:val="center"/>
          </w:tcPr>
          <w:p w14:paraId="26B938B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117" w:type="dxa"/>
            <w:vAlign w:val="center"/>
          </w:tcPr>
          <w:p w14:paraId="2AC141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614" w:type="dxa"/>
            <w:vAlign w:val="center"/>
          </w:tcPr>
          <w:p w14:paraId="52F721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496" w:type="dxa"/>
            <w:vAlign w:val="center"/>
          </w:tcPr>
          <w:p w14:paraId="6DD97CD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r>
      <w:tr w14:paraId="3DB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27A1859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399" w:type="dxa"/>
            <w:vAlign w:val="center"/>
          </w:tcPr>
          <w:p w14:paraId="7A8F9F9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2117" w:type="dxa"/>
            <w:vAlign w:val="center"/>
          </w:tcPr>
          <w:p w14:paraId="72EA66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614" w:type="dxa"/>
            <w:vAlign w:val="center"/>
          </w:tcPr>
          <w:p w14:paraId="256F20C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c>
          <w:tcPr>
            <w:tcW w:w="1496" w:type="dxa"/>
            <w:vAlign w:val="center"/>
          </w:tcPr>
          <w:p w14:paraId="334A1FE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p>
        </w:tc>
      </w:tr>
      <w:tr w14:paraId="342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96" w:type="dxa"/>
            <w:vAlign w:val="center"/>
          </w:tcPr>
          <w:p w14:paraId="503D8A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27"/>
                <w:rFonts w:hint="eastAsia" w:ascii="宋体" w:hAnsi="宋体" w:eastAsia="宋体" w:cs="宋体"/>
                <w:bCs/>
                <w:kern w:val="0"/>
                <w:sz w:val="24"/>
                <w:szCs w:val="24"/>
              </w:rPr>
            </w:pPr>
            <w:r>
              <w:rPr>
                <w:rStyle w:val="27"/>
                <w:rFonts w:hint="eastAsia" w:ascii="宋体" w:hAnsi="宋体" w:eastAsia="宋体" w:cs="宋体"/>
                <w:bCs/>
                <w:kern w:val="0"/>
                <w:sz w:val="24"/>
                <w:szCs w:val="24"/>
              </w:rPr>
              <w:t>总计</w:t>
            </w:r>
          </w:p>
        </w:tc>
        <w:tc>
          <w:tcPr>
            <w:tcW w:w="7626" w:type="dxa"/>
            <w:gridSpan w:val="4"/>
            <w:vAlign w:val="center"/>
          </w:tcPr>
          <w:p w14:paraId="63FB20B7">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Style w:val="27"/>
                <w:rFonts w:hint="eastAsia" w:ascii="宋体" w:hAnsi="宋体" w:eastAsia="宋体" w:cs="宋体"/>
                <w:bCs/>
                <w:kern w:val="0"/>
                <w:sz w:val="24"/>
                <w:szCs w:val="24"/>
              </w:rPr>
            </w:pPr>
            <w:r>
              <w:rPr>
                <w:rFonts w:hint="eastAsia" w:ascii="宋体" w:hAnsi="宋体" w:eastAsia="宋体" w:cs="宋体"/>
                <w:bCs/>
                <w:color w:val="000000"/>
                <w:kern w:val="0"/>
                <w:sz w:val="24"/>
                <w:szCs w:val="24"/>
              </w:rPr>
              <w:t xml:space="preserve">（大写：  </w:t>
            </w:r>
            <w:r>
              <w:rPr>
                <w:rFonts w:hint="eastAsia" w:ascii="宋体" w:hAnsi="宋体" w:eastAsia="宋体" w:cs="宋体"/>
                <w:bCs/>
                <w:color w:val="000000"/>
                <w:kern w:val="0"/>
                <w:sz w:val="24"/>
                <w:szCs w:val="24"/>
                <w:lang w:val="en-US" w:eastAsia="zh-CN"/>
              </w:rPr>
              <w:t xml:space="preserve"> </w:t>
            </w:r>
            <w:r>
              <w:rPr>
                <w:rFonts w:hint="eastAsia" w:ascii="宋体" w:hAnsi="宋体" w:eastAsia="宋体" w:cs="宋体"/>
                <w:bCs/>
                <w:color w:val="000000"/>
                <w:kern w:val="0"/>
                <w:sz w:val="24"/>
                <w:szCs w:val="24"/>
              </w:rPr>
              <w:t xml:space="preserve">    ）</w:t>
            </w:r>
          </w:p>
        </w:tc>
      </w:tr>
    </w:tbl>
    <w:p w14:paraId="6A515A17">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val="0"/>
          <w:bCs/>
          <w:kern w:val="0"/>
          <w:sz w:val="24"/>
          <w:szCs w:val="24"/>
          <w:lang w:val="en-US" w:eastAsia="zh-CN"/>
        </w:rPr>
      </w:pPr>
    </w:p>
    <w:p w14:paraId="2B4DED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Style w:val="27"/>
          <w:rFonts w:hint="eastAsia" w:ascii="宋体" w:hAnsi="宋体" w:eastAsia="宋体" w:cs="宋体"/>
          <w:b w:val="0"/>
          <w:bCs/>
          <w:kern w:val="0"/>
          <w:sz w:val="24"/>
          <w:szCs w:val="24"/>
          <w:lang w:val="en-US" w:eastAsia="zh-CN"/>
        </w:rPr>
        <w:t>2、</w:t>
      </w:r>
      <w:r>
        <w:rPr>
          <w:rFonts w:hint="eastAsia" w:ascii="宋体" w:hAnsi="宋体" w:eastAsia="宋体" w:cs="宋体"/>
          <w:sz w:val="24"/>
          <w:szCs w:val="24"/>
        </w:rPr>
        <w:t>质量要求:</w:t>
      </w:r>
    </w:p>
    <w:p w14:paraId="43BDC2F3">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供应商提供产品必须是该品牌全新的、未使用过的原装、合格正品。</w:t>
      </w:r>
    </w:p>
    <w:p w14:paraId="469807E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ab/>
      </w:r>
      <w:r>
        <w:rPr>
          <w:rStyle w:val="27"/>
          <w:rFonts w:hint="eastAsia" w:ascii="宋体" w:hAnsi="宋体" w:eastAsia="宋体" w:cs="宋体"/>
          <w:b w:val="0"/>
          <w:bCs/>
          <w:kern w:val="0"/>
          <w:sz w:val="24"/>
          <w:szCs w:val="24"/>
          <w:lang w:val="en-US" w:eastAsia="zh-CN"/>
        </w:rPr>
        <w:t>所提供产品质量必须符合国家相关标准，必须满足本次采购的要求 若所供产品经产品质量检测机构检测认定质量不合格，造成的损失和后果由该供应商负全责。</w:t>
      </w:r>
    </w:p>
    <w:p w14:paraId="38F9453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ab/>
      </w:r>
      <w:r>
        <w:rPr>
          <w:rStyle w:val="27"/>
          <w:rFonts w:hint="eastAsia" w:ascii="宋体" w:hAnsi="宋体" w:eastAsia="宋体" w:cs="宋体"/>
          <w:b w:val="0"/>
          <w:bCs/>
          <w:kern w:val="0"/>
          <w:sz w:val="24"/>
          <w:szCs w:val="24"/>
          <w:lang w:val="en-US" w:eastAsia="zh-CN"/>
        </w:rPr>
        <w:t>服务期内，进行上门服务产生的一切费用均由成交供应商承担。</w:t>
      </w:r>
    </w:p>
    <w:p w14:paraId="339AD91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ab/>
      </w:r>
      <w:r>
        <w:rPr>
          <w:rStyle w:val="27"/>
          <w:rFonts w:hint="eastAsia" w:ascii="宋体" w:hAnsi="宋体" w:eastAsia="宋体" w:cs="宋体"/>
          <w:b w:val="0"/>
          <w:bCs/>
          <w:kern w:val="0"/>
          <w:sz w:val="24"/>
          <w:szCs w:val="24"/>
          <w:lang w:val="en-US" w:eastAsia="zh-CN"/>
        </w:rPr>
        <w:t>在合理使用年限内由成交供应商提供产品的质量问题造成的人身及财产损失由成交供应商承担。</w:t>
      </w:r>
    </w:p>
    <w:p w14:paraId="63DC47F3">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p>
    <w:p w14:paraId="467360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rPr>
        <w:t>二、</w:t>
      </w:r>
      <w:r>
        <w:rPr>
          <w:rStyle w:val="27"/>
          <w:rFonts w:hint="eastAsia" w:ascii="宋体" w:hAnsi="宋体" w:eastAsia="宋体" w:cs="宋体"/>
          <w:b/>
          <w:kern w:val="0"/>
          <w:sz w:val="24"/>
          <w:szCs w:val="24"/>
          <w:lang w:val="en-US" w:eastAsia="zh-CN"/>
        </w:rPr>
        <w:t>合同金额及</w:t>
      </w:r>
      <w:r>
        <w:rPr>
          <w:rStyle w:val="27"/>
          <w:rFonts w:hint="eastAsia" w:ascii="宋体" w:hAnsi="宋体" w:eastAsia="宋体" w:cs="宋体"/>
          <w:b/>
          <w:kern w:val="0"/>
          <w:sz w:val="24"/>
          <w:szCs w:val="24"/>
        </w:rPr>
        <w:t>结算方式</w:t>
      </w:r>
    </w:p>
    <w:p w14:paraId="6446AFE0">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本合同金额为（大写）</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w:t>
      </w:r>
    </w:p>
    <w:p w14:paraId="081FB752">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kern w:val="0"/>
          <w:sz w:val="24"/>
          <w:szCs w:val="24"/>
          <w:lang w:val="en-US" w:eastAsia="zh-CN"/>
        </w:rPr>
      </w:pPr>
      <w:r>
        <w:rPr>
          <w:rStyle w:val="27"/>
          <w:rFonts w:hint="eastAsia" w:ascii="宋体" w:hAnsi="宋体" w:eastAsia="宋体" w:cs="宋体"/>
          <w:kern w:val="0"/>
          <w:sz w:val="24"/>
          <w:szCs w:val="24"/>
        </w:rPr>
        <w:t>验收合格后，甲方支付乙方合同价的100%，即（大写）</w:t>
      </w:r>
      <w:r>
        <w:rPr>
          <w:rStyle w:val="27"/>
          <w:rFonts w:hint="eastAsia" w:ascii="宋体" w:hAnsi="宋体" w:eastAsia="宋体" w:cs="宋体"/>
          <w:kern w:val="0"/>
          <w:sz w:val="24"/>
          <w:szCs w:val="24"/>
          <w:u w:val="single"/>
          <w:lang w:val="en-US" w:eastAsia="zh-CN"/>
        </w:rPr>
        <w:t xml:space="preserve">       </w:t>
      </w:r>
      <w:r>
        <w:rPr>
          <w:rStyle w:val="27"/>
          <w:rFonts w:hint="eastAsia" w:ascii="宋体" w:hAnsi="宋体" w:eastAsia="宋体" w:cs="宋体"/>
          <w:kern w:val="0"/>
          <w:sz w:val="24"/>
          <w:szCs w:val="24"/>
          <w:lang w:val="en-US" w:eastAsia="zh-CN"/>
        </w:rPr>
        <w:t>元整</w:t>
      </w:r>
      <w:r>
        <w:rPr>
          <w:rStyle w:val="27"/>
          <w:rFonts w:hint="eastAsia" w:ascii="宋体" w:hAnsi="宋体" w:eastAsia="宋体" w:cs="宋体"/>
          <w:kern w:val="0"/>
          <w:sz w:val="24"/>
          <w:szCs w:val="24"/>
        </w:rPr>
        <w:t>（小写￥</w:t>
      </w:r>
      <w:r>
        <w:rPr>
          <w:rStyle w:val="27"/>
          <w:rFonts w:hint="eastAsia" w:ascii="宋体" w:hAnsi="宋体" w:eastAsia="宋体" w:cs="宋体"/>
          <w:kern w:val="0"/>
          <w:sz w:val="24"/>
          <w:szCs w:val="24"/>
          <w:u w:val="single"/>
          <w:lang w:val="en-US" w:eastAsia="zh-CN"/>
        </w:rPr>
        <w:t xml:space="preserve">        </w:t>
      </w:r>
      <w:r>
        <w:rPr>
          <w:rStyle w:val="27"/>
          <w:rFonts w:hint="eastAsia" w:ascii="宋体" w:hAnsi="宋体" w:eastAsia="宋体" w:cs="宋体"/>
          <w:kern w:val="0"/>
          <w:sz w:val="24"/>
          <w:szCs w:val="24"/>
          <w:lang w:val="en-US" w:eastAsia="zh-CN"/>
        </w:rPr>
        <w:t>元）。</w:t>
      </w:r>
    </w:p>
    <w:p w14:paraId="7A463EF0">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乙方开具增值税普通发票。</w:t>
      </w:r>
    </w:p>
    <w:p w14:paraId="1B099AE2">
      <w:pPr>
        <w:keepNext w:val="0"/>
        <w:keepLines w:val="0"/>
        <w:pageBreakBefore w:val="0"/>
        <w:widowControl w:val="0"/>
        <w:kinsoku/>
        <w:wordWrap/>
        <w:overflowPunct/>
        <w:topLinePunct w:val="0"/>
        <w:autoSpaceDE/>
        <w:autoSpaceDN/>
        <w:bidi w:val="0"/>
        <w:adjustRightInd/>
        <w:snapToGrid w:val="0"/>
        <w:spacing w:line="360" w:lineRule="auto"/>
        <w:ind w:firstLine="482"/>
        <w:jc w:val="left"/>
        <w:textAlignment w:val="auto"/>
        <w:rPr>
          <w:rStyle w:val="27"/>
          <w:rFonts w:hint="eastAsia" w:ascii="宋体" w:hAnsi="宋体" w:eastAsia="宋体" w:cs="宋体"/>
          <w:kern w:val="0"/>
          <w:sz w:val="24"/>
          <w:szCs w:val="24"/>
        </w:rPr>
      </w:pPr>
    </w:p>
    <w:p w14:paraId="532C029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sz w:val="24"/>
          <w:szCs w:val="24"/>
        </w:rPr>
      </w:pPr>
      <w:r>
        <w:rPr>
          <w:rStyle w:val="27"/>
          <w:rFonts w:hint="eastAsia" w:ascii="宋体" w:hAnsi="宋体" w:eastAsia="宋体" w:cs="宋体"/>
          <w:b/>
          <w:kern w:val="0"/>
          <w:sz w:val="24"/>
          <w:szCs w:val="24"/>
        </w:rPr>
        <w:t>三、</w:t>
      </w:r>
      <w:r>
        <w:rPr>
          <w:rFonts w:hint="eastAsia" w:ascii="宋体" w:hAnsi="宋体" w:eastAsia="宋体" w:cs="宋体"/>
          <w:b/>
          <w:sz w:val="24"/>
          <w:szCs w:val="24"/>
        </w:rPr>
        <w:t>交货期、交货方式及交货地点</w:t>
      </w:r>
    </w:p>
    <w:p w14:paraId="33D3113C">
      <w:pPr>
        <w:pStyle w:val="2"/>
        <w:keepNext w:val="0"/>
        <w:keepLines w:val="0"/>
        <w:pageBreakBefore w:val="0"/>
        <w:widowControl w:val="0"/>
        <w:kinsoku/>
        <w:wordWrap/>
        <w:overflowPunct/>
        <w:topLinePunct w:val="0"/>
        <w:autoSpaceDE/>
        <w:autoSpaceDN/>
        <w:bidi w:val="0"/>
        <w:adjustRightInd/>
        <w:spacing w:line="360" w:lineRule="auto"/>
        <w:ind w:left="0" w:leftChars="0" w:firstLine="420" w:firstLineChars="0"/>
        <w:textAlignment w:val="auto"/>
        <w:rPr>
          <w:rStyle w:val="27"/>
          <w:rFonts w:hint="eastAsia" w:ascii="宋体" w:hAnsi="宋体" w:eastAsia="宋体" w:cs="宋体"/>
          <w:kern w:val="0"/>
          <w:sz w:val="24"/>
          <w:szCs w:val="24"/>
          <w:lang w:val="en-US" w:eastAsia="zh-CN" w:bidi="ar-SA"/>
        </w:rPr>
      </w:pPr>
      <w:r>
        <w:rPr>
          <w:rStyle w:val="27"/>
          <w:rFonts w:hint="eastAsia" w:ascii="宋体" w:hAnsi="宋体" w:eastAsia="宋体" w:cs="宋体"/>
          <w:kern w:val="0"/>
          <w:sz w:val="24"/>
          <w:szCs w:val="24"/>
          <w:lang w:val="en-US" w:eastAsia="zh-CN" w:bidi="ar-SA"/>
        </w:rPr>
        <w:t>交货期：所有设备及软件须在合同签订后的30天内设备安装、软件装载到位交付甲方验收。</w:t>
      </w:r>
    </w:p>
    <w:p w14:paraId="64387769">
      <w:pPr>
        <w:pStyle w:val="2"/>
        <w:keepNext w:val="0"/>
        <w:keepLines w:val="0"/>
        <w:pageBreakBefore w:val="0"/>
        <w:widowControl w:val="0"/>
        <w:kinsoku/>
        <w:wordWrap/>
        <w:overflowPunct/>
        <w:topLinePunct w:val="0"/>
        <w:autoSpaceDE/>
        <w:autoSpaceDN/>
        <w:bidi w:val="0"/>
        <w:adjustRightInd/>
        <w:spacing w:line="360" w:lineRule="auto"/>
        <w:ind w:left="0" w:leftChars="0" w:firstLine="420" w:firstLineChars="0"/>
        <w:textAlignment w:val="auto"/>
        <w:rPr>
          <w:rStyle w:val="27"/>
          <w:rFonts w:hint="eastAsia" w:ascii="宋体" w:hAnsi="宋体" w:eastAsia="宋体" w:cs="宋体"/>
          <w:kern w:val="0"/>
          <w:sz w:val="24"/>
          <w:szCs w:val="24"/>
          <w:lang w:val="en-US" w:eastAsia="zh-CN" w:bidi="ar-SA"/>
        </w:rPr>
      </w:pPr>
      <w:r>
        <w:rPr>
          <w:rStyle w:val="27"/>
          <w:rFonts w:hint="eastAsia" w:ascii="宋体" w:hAnsi="宋体" w:eastAsia="宋体" w:cs="宋体"/>
          <w:kern w:val="0"/>
          <w:sz w:val="24"/>
          <w:szCs w:val="24"/>
          <w:lang w:val="en-US" w:eastAsia="zh-CN" w:bidi="ar-SA"/>
        </w:rPr>
        <w:t>交货方式：送货上门。</w:t>
      </w:r>
    </w:p>
    <w:p w14:paraId="12596C38">
      <w:pPr>
        <w:pStyle w:val="2"/>
        <w:keepNext w:val="0"/>
        <w:keepLines w:val="0"/>
        <w:pageBreakBefore w:val="0"/>
        <w:widowControl w:val="0"/>
        <w:kinsoku/>
        <w:wordWrap/>
        <w:overflowPunct/>
        <w:topLinePunct w:val="0"/>
        <w:autoSpaceDE/>
        <w:autoSpaceDN/>
        <w:bidi w:val="0"/>
        <w:adjustRightInd/>
        <w:spacing w:line="360" w:lineRule="auto"/>
        <w:ind w:left="0" w:leftChars="0" w:firstLine="420" w:firstLineChars="0"/>
        <w:textAlignment w:val="auto"/>
        <w:rPr>
          <w:rStyle w:val="27"/>
          <w:rFonts w:hint="eastAsia" w:ascii="宋体" w:hAnsi="宋体" w:eastAsia="宋体" w:cs="宋体"/>
          <w:kern w:val="0"/>
          <w:sz w:val="24"/>
          <w:szCs w:val="24"/>
          <w:lang w:val="en-US" w:eastAsia="zh-CN" w:bidi="ar-SA"/>
        </w:rPr>
      </w:pPr>
      <w:r>
        <w:rPr>
          <w:rStyle w:val="27"/>
          <w:rFonts w:hint="eastAsia" w:ascii="宋体" w:hAnsi="宋体" w:eastAsia="宋体" w:cs="宋体"/>
          <w:kern w:val="0"/>
          <w:sz w:val="24"/>
          <w:szCs w:val="24"/>
          <w:lang w:val="en-US" w:eastAsia="zh-CN" w:bidi="ar-SA"/>
        </w:rPr>
        <w:t>交货地点：</w:t>
      </w:r>
      <w:r>
        <w:rPr>
          <w:rFonts w:hint="eastAsia" w:ascii="宋体" w:hAnsi="宋体" w:eastAsia="宋体" w:cs="宋体"/>
          <w:kern w:val="0"/>
          <w:sz w:val="24"/>
          <w:szCs w:val="24"/>
        </w:rPr>
        <w:t>南京特殊教育师范学院</w:t>
      </w:r>
      <w:r>
        <w:rPr>
          <w:rStyle w:val="27"/>
          <w:rFonts w:hint="eastAsia" w:ascii="宋体" w:hAnsi="宋体" w:eastAsia="宋体" w:cs="宋体"/>
          <w:kern w:val="0"/>
          <w:sz w:val="24"/>
          <w:szCs w:val="24"/>
          <w:lang w:val="en-US" w:eastAsia="zh-CN" w:bidi="ar-SA"/>
        </w:rPr>
        <w:t>内。</w:t>
      </w:r>
    </w:p>
    <w:p w14:paraId="275237B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kern w:val="0"/>
          <w:sz w:val="24"/>
          <w:szCs w:val="24"/>
        </w:rPr>
      </w:pPr>
    </w:p>
    <w:p w14:paraId="73E985C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lang w:val="en-US" w:eastAsia="zh-CN"/>
        </w:rPr>
        <w:t>四、</w:t>
      </w:r>
      <w:r>
        <w:rPr>
          <w:rStyle w:val="27"/>
          <w:rFonts w:hint="eastAsia" w:ascii="宋体" w:hAnsi="宋体" w:eastAsia="宋体" w:cs="宋体"/>
          <w:b/>
          <w:kern w:val="0"/>
          <w:sz w:val="24"/>
          <w:szCs w:val="24"/>
        </w:rPr>
        <w:t>产品包装、发运及运输</w:t>
      </w:r>
    </w:p>
    <w:p w14:paraId="51FB7584">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乙方应在产品发运前对其进行满足运输距离、防潮、防震、防锈和防破损装卸等要求包装，以保证产品安全运达甲方指定地点。</w:t>
      </w:r>
    </w:p>
    <w:p w14:paraId="3CFD0C0A">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使用说明书、质量检验证明书、随配附件和工具以及清单一并附于产品内。</w:t>
      </w:r>
    </w:p>
    <w:p w14:paraId="43FECFB2">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乙方在产品发运手续办理完毕后24小时内或货到甲方48小时前通知甲方，以准备接货。</w:t>
      </w:r>
    </w:p>
    <w:p w14:paraId="17CA6BDC">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产品在交付甲方前发生的风险均由乙方负责。</w:t>
      </w:r>
    </w:p>
    <w:p w14:paraId="57FB79E3">
      <w:pPr>
        <w:keepNext w:val="0"/>
        <w:keepLines w:val="0"/>
        <w:pageBreakBefore w:val="0"/>
        <w:widowControl w:val="0"/>
        <w:kinsoku/>
        <w:wordWrap/>
        <w:overflowPunct/>
        <w:topLinePunct w:val="0"/>
        <w:autoSpaceDE/>
        <w:autoSpaceDN/>
        <w:bidi w:val="0"/>
        <w:adjustRightInd/>
        <w:snapToGrid w:val="0"/>
        <w:spacing w:line="360" w:lineRule="auto"/>
        <w:ind w:firstLine="420" w:firstLineChars="0"/>
        <w:jc w:val="left"/>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产品在规定的交付期限内由乙方送达甲方指定的地点视为交付，乙方同时需通知甲方产品已送达。</w:t>
      </w:r>
    </w:p>
    <w:p w14:paraId="73EE1923">
      <w:pPr>
        <w:keepNext w:val="0"/>
        <w:keepLines w:val="0"/>
        <w:pageBreakBefore w:val="0"/>
        <w:widowControl w:val="0"/>
        <w:kinsoku/>
        <w:wordWrap/>
        <w:overflowPunct/>
        <w:topLinePunct w:val="0"/>
        <w:autoSpaceDE/>
        <w:autoSpaceDN/>
        <w:bidi w:val="0"/>
        <w:adjustRightInd/>
        <w:snapToGrid w:val="0"/>
        <w:spacing w:line="360" w:lineRule="auto"/>
        <w:ind w:firstLine="465"/>
        <w:jc w:val="left"/>
        <w:textAlignment w:val="auto"/>
        <w:rPr>
          <w:rStyle w:val="27"/>
          <w:rFonts w:hint="eastAsia" w:ascii="宋体" w:hAnsi="宋体" w:eastAsia="宋体" w:cs="宋体"/>
          <w:kern w:val="0"/>
          <w:sz w:val="24"/>
          <w:szCs w:val="24"/>
        </w:rPr>
      </w:pPr>
    </w:p>
    <w:p w14:paraId="49D7DCE9">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lang w:val="en-US" w:eastAsia="zh-CN"/>
        </w:rPr>
        <w:t>五</w:t>
      </w:r>
      <w:r>
        <w:rPr>
          <w:rStyle w:val="27"/>
          <w:rFonts w:hint="eastAsia" w:ascii="宋体" w:hAnsi="宋体" w:eastAsia="宋体" w:cs="宋体"/>
          <w:b/>
          <w:kern w:val="0"/>
          <w:sz w:val="24"/>
          <w:szCs w:val="24"/>
        </w:rPr>
        <w:t>、验收、交付标准和方法</w:t>
      </w:r>
    </w:p>
    <w:p w14:paraId="02A76DB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甲方对乙方提交的产品依据采购文件上的技术规格要求和国家有关质量标准进行现场初步验收，外观、说明书符合采购文件技术要求的，给予签收，初步验收不合格的不予签收。所有产品运送至现场且安装完毕提交甲方验收，甲方需在乙方提交验收后</w:t>
      </w:r>
      <w:r>
        <w:rPr>
          <w:rStyle w:val="27"/>
          <w:rFonts w:hint="eastAsia" w:ascii="宋体" w:hAnsi="宋体" w:eastAsia="宋体" w:cs="宋体"/>
          <w:kern w:val="0"/>
          <w:sz w:val="24"/>
          <w:szCs w:val="24"/>
          <w:lang w:val="en-US" w:eastAsia="zh-CN"/>
        </w:rPr>
        <w:t>10</w:t>
      </w:r>
      <w:r>
        <w:rPr>
          <w:rStyle w:val="27"/>
          <w:rFonts w:hint="eastAsia" w:ascii="宋体" w:hAnsi="宋体" w:eastAsia="宋体" w:cs="宋体"/>
          <w:kern w:val="0"/>
          <w:sz w:val="24"/>
          <w:szCs w:val="24"/>
        </w:rPr>
        <w:t>工作日内验收完毕。</w:t>
      </w:r>
    </w:p>
    <w:p w14:paraId="7FAF9D4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乙方交货前应对产品作出全面检查和对验收文件进行整理，并列出清单，报送甲方，作为甲方收货验收和使用的技术条件依据，检验如合格则应随产品交甲方，如不合格则甲方有权拒绝收货，且要求乙方更换，如更换后仍不能通过甲方验收，则甲方有权解除本合同，乙方全部退还已付甲方款项，且乙方承担合同总额的5%违约金给甲方。</w:t>
      </w:r>
    </w:p>
    <w:p w14:paraId="5495175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甲方对乙方提供的产品在使用前进行调试时，乙方需负责安装并培训甲方的使用操作人员，并协助甲方一起调试，直到符合技术要求，甲方才做最终验收。</w:t>
      </w:r>
    </w:p>
    <w:p w14:paraId="1E07F32B">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对技术复杂的产品，甲方可请国家认可的专业检测机构参与初步验收及最终验收，并由其出具质量检测报告。</w:t>
      </w:r>
    </w:p>
    <w:p w14:paraId="7942A77D">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验收时乙方必须在现场，验收完毕后作出验收结果报告。</w:t>
      </w:r>
    </w:p>
    <w:p w14:paraId="4B12AB14">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Style w:val="27"/>
          <w:rFonts w:hint="eastAsia" w:ascii="宋体" w:hAnsi="宋体" w:eastAsia="宋体" w:cs="宋体"/>
          <w:kern w:val="0"/>
          <w:sz w:val="24"/>
          <w:szCs w:val="24"/>
        </w:rPr>
      </w:pPr>
    </w:p>
    <w:p w14:paraId="5ACADC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rPr>
      </w:pPr>
      <w:r>
        <w:rPr>
          <w:rStyle w:val="27"/>
          <w:rFonts w:hint="eastAsia" w:ascii="宋体" w:hAnsi="宋体" w:eastAsia="宋体" w:cs="宋体"/>
          <w:b/>
          <w:bCs/>
          <w:kern w:val="0"/>
          <w:sz w:val="24"/>
          <w:szCs w:val="24"/>
          <w:lang w:val="en-US" w:eastAsia="zh-CN"/>
        </w:rPr>
        <w:t>六、</w:t>
      </w:r>
      <w:r>
        <w:rPr>
          <w:rStyle w:val="27"/>
          <w:rFonts w:hint="eastAsia" w:ascii="宋体" w:hAnsi="宋体" w:eastAsia="宋体" w:cs="宋体"/>
          <w:b/>
          <w:bCs/>
          <w:kern w:val="0"/>
          <w:sz w:val="24"/>
          <w:szCs w:val="24"/>
        </w:rPr>
        <w:t>售后服务承诺</w:t>
      </w:r>
    </w:p>
    <w:p w14:paraId="7E5028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乙方应按采购文件规定的产品性能、技术要求、质量标准向甲方提供未经使用的全新产品。</w:t>
      </w:r>
    </w:p>
    <w:p w14:paraId="043795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 xml:space="preserve">乙方提供的产品在质保期内因产品本身的质量问题发生故障，对达不到技术要求者，根据实际情况，经双方协商，可按以下办法处理：                                                     </w:t>
      </w:r>
    </w:p>
    <w:p w14:paraId="37FF94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 xml:space="preserve">⑴ 更换：由乙方承担所发生的全部费用。                           </w:t>
      </w:r>
    </w:p>
    <w:p w14:paraId="42E00E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 xml:space="preserve"> ⑵如更换后仍出现质量问题则甲方有权作退货处理：乙方应退还甲方支付的合同款，同时应承担该产品的直接费用（运输、保险、检验、货款利息及银行手续费以及诉讼费用、律师代理费用等维权费用等）。                               </w:t>
      </w:r>
    </w:p>
    <w:p w14:paraId="302874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如在使用过程中发生质量问题，乙方在接到甲方通知后在24小时内到达甲方现场。</w:t>
      </w:r>
    </w:p>
    <w:p w14:paraId="074936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在质保期内，乙方应对产品出现的质量及安全问题负责处理解决并承担一切费用。</w:t>
      </w:r>
    </w:p>
    <w:p w14:paraId="2C02BB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上述的产品免费保修期为</w:t>
      </w:r>
      <w:r>
        <w:rPr>
          <w:rStyle w:val="27"/>
          <w:rFonts w:hint="eastAsia" w:ascii="宋体" w:hAnsi="宋体" w:eastAsia="宋体" w:cs="宋体"/>
          <w:b w:val="0"/>
          <w:bCs/>
          <w:kern w:val="0"/>
          <w:sz w:val="24"/>
          <w:szCs w:val="24"/>
          <w:lang w:val="en-US" w:eastAsia="zh-CN"/>
        </w:rPr>
        <w:t>1</w:t>
      </w:r>
      <w:r>
        <w:rPr>
          <w:rStyle w:val="27"/>
          <w:rFonts w:hint="eastAsia" w:ascii="宋体" w:hAnsi="宋体" w:eastAsia="宋体" w:cs="宋体"/>
          <w:b w:val="0"/>
          <w:bCs/>
          <w:kern w:val="0"/>
          <w:sz w:val="24"/>
          <w:szCs w:val="24"/>
        </w:rPr>
        <w:t>年，因甲方使用时人为因素出现的故障不在免费保修范围内。</w:t>
      </w:r>
    </w:p>
    <w:p w14:paraId="1B169C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rPr>
      </w:pPr>
      <w:r>
        <w:rPr>
          <w:rStyle w:val="27"/>
          <w:rFonts w:hint="eastAsia" w:ascii="宋体" w:hAnsi="宋体" w:eastAsia="宋体" w:cs="宋体"/>
          <w:b w:val="0"/>
          <w:bCs/>
          <w:kern w:val="0"/>
          <w:sz w:val="24"/>
          <w:szCs w:val="24"/>
        </w:rPr>
        <w:t>乙方技术支持电话：</w:t>
      </w:r>
      <w:bookmarkStart w:id="0" w:name="_GoBack"/>
      <w:bookmarkEnd w:id="0"/>
    </w:p>
    <w:p w14:paraId="7DF585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kern w:val="0"/>
          <w:sz w:val="24"/>
          <w:szCs w:val="24"/>
          <w:lang w:val="en-US" w:eastAsia="zh-CN"/>
        </w:rPr>
      </w:pPr>
    </w:p>
    <w:p w14:paraId="3BB544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kern w:val="0"/>
          <w:sz w:val="24"/>
          <w:szCs w:val="24"/>
          <w:lang w:val="en-US" w:eastAsia="zh-CN"/>
        </w:rPr>
      </w:pPr>
      <w:r>
        <w:rPr>
          <w:rStyle w:val="27"/>
          <w:rFonts w:hint="eastAsia" w:ascii="宋体" w:hAnsi="宋体" w:eastAsia="宋体" w:cs="宋体"/>
          <w:b/>
          <w:kern w:val="0"/>
          <w:sz w:val="24"/>
          <w:szCs w:val="24"/>
          <w:lang w:val="en-US" w:eastAsia="zh-CN"/>
        </w:rPr>
        <w:t>七、违约责任</w:t>
      </w:r>
    </w:p>
    <w:p w14:paraId="774838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甲方无正当理由拒收产品的，甲方向乙方偿付拒收货款总值的 1% 违约金。</w:t>
      </w:r>
    </w:p>
    <w:p w14:paraId="22DA28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甲方无故逾期验收和办理产品款项支付手续的,甲方应按逾期付款总额每日0.5% 向乙方支付违约金。</w:t>
      </w:r>
    </w:p>
    <w:p w14:paraId="11B1E6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 xml:space="preserve">乙方逾期交付产品给甲方验收的，乙方应按逾期交货总额每日 0.5% 向甲方支付违约金，由甲方从待付货款中扣除。逾期超过约定日期 3个工作日不能交付的，甲方有权解除本合同。乙方因逾期交付或因其他违约行为导致甲方解除合同的，乙方应向甲方支付合同总值5% 的违约金，如造成甲方损失超过违约金的，超出部分由乙方继续承担赔偿责任。 </w:t>
      </w:r>
    </w:p>
    <w:p w14:paraId="15107E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kern w:val="0"/>
          <w:sz w:val="24"/>
          <w:szCs w:val="24"/>
          <w:lang w:val="en-US" w:eastAsia="zh-CN"/>
        </w:rPr>
      </w:pPr>
      <w:r>
        <w:rPr>
          <w:rStyle w:val="27"/>
          <w:rFonts w:hint="eastAsia" w:ascii="宋体" w:hAnsi="宋体" w:eastAsia="宋体" w:cs="宋体"/>
          <w:b w:val="0"/>
          <w:bCs/>
          <w:kern w:val="0"/>
          <w:sz w:val="24"/>
          <w:szCs w:val="24"/>
          <w:lang w:val="en-US" w:eastAsia="zh-CN"/>
        </w:rPr>
        <w:t>乙方所交的产品品种、型号、规格、技术参数、质量不符合合同规定及采购文件规定标准的，甲方有权拒收该产品；如甲方要求限期更换产品的乙方愿意更换产品但逾期交付的，按乙方逾期交付处理。乙方拒绝更换产品的，甲方有权单方面解除合同，乙方全部退还已付甲方款项，且乙方承担合同总额的5%违约金给甲方。</w:t>
      </w:r>
    </w:p>
    <w:p w14:paraId="66C165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kern w:val="0"/>
          <w:sz w:val="24"/>
          <w:szCs w:val="24"/>
          <w:lang w:val="en-US" w:eastAsia="zh-CN"/>
        </w:rPr>
      </w:pPr>
    </w:p>
    <w:p w14:paraId="0D2066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kern w:val="0"/>
          <w:sz w:val="24"/>
          <w:szCs w:val="24"/>
        </w:rPr>
      </w:pPr>
      <w:r>
        <w:rPr>
          <w:rStyle w:val="27"/>
          <w:rFonts w:hint="eastAsia" w:ascii="宋体" w:hAnsi="宋体" w:eastAsia="宋体" w:cs="宋体"/>
          <w:b/>
          <w:kern w:val="0"/>
          <w:sz w:val="24"/>
          <w:szCs w:val="24"/>
          <w:lang w:val="en-US" w:eastAsia="zh-CN"/>
        </w:rPr>
        <w:t>八、不可抗力</w:t>
      </w:r>
    </w:p>
    <w:p w14:paraId="09B30423">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rPr>
        <w:t>在合同有效期内，任何一方因不可抗力事件导致不能履行合同，则合同履行期可延长，其延长期与不可抗力影响期相同。</w:t>
      </w:r>
    </w:p>
    <w:p w14:paraId="5B3B4010">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lang w:val="en-US" w:eastAsia="zh-CN"/>
        </w:rPr>
        <w:tab/>
      </w:r>
      <w:r>
        <w:rPr>
          <w:rStyle w:val="27"/>
          <w:rFonts w:hint="eastAsia" w:ascii="宋体" w:hAnsi="宋体" w:eastAsia="宋体" w:cs="宋体"/>
          <w:kern w:val="0"/>
          <w:sz w:val="24"/>
          <w:szCs w:val="24"/>
        </w:rPr>
        <w:t>不可抗力事件发生后，应立即通知对方，并寄送有关权威机构出具的证明。</w:t>
      </w:r>
    </w:p>
    <w:p w14:paraId="74CE4180">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kern w:val="0"/>
          <w:sz w:val="24"/>
          <w:szCs w:val="24"/>
        </w:rPr>
      </w:pPr>
      <w:r>
        <w:rPr>
          <w:rStyle w:val="27"/>
          <w:rFonts w:hint="eastAsia" w:ascii="宋体" w:hAnsi="宋体" w:eastAsia="宋体" w:cs="宋体"/>
          <w:kern w:val="0"/>
          <w:sz w:val="24"/>
          <w:szCs w:val="24"/>
          <w:lang w:val="en-US" w:eastAsia="zh-CN"/>
        </w:rPr>
        <w:tab/>
      </w:r>
      <w:r>
        <w:rPr>
          <w:rStyle w:val="27"/>
          <w:rFonts w:hint="eastAsia" w:ascii="宋体" w:hAnsi="宋体" w:eastAsia="宋体" w:cs="宋体"/>
          <w:kern w:val="0"/>
          <w:sz w:val="24"/>
          <w:szCs w:val="24"/>
        </w:rPr>
        <w:t>不可抗力事件延续120天以上，双方应通过友好协商，确定是否继续履行合同。</w:t>
      </w:r>
    </w:p>
    <w:p w14:paraId="7A81A2FD">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p>
    <w:p w14:paraId="35F18DFA">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r>
        <w:rPr>
          <w:rStyle w:val="27"/>
          <w:rFonts w:hint="eastAsia" w:ascii="宋体" w:hAnsi="宋体" w:eastAsia="宋体" w:cs="宋体"/>
          <w:b/>
          <w:bCs/>
          <w:kern w:val="0"/>
          <w:sz w:val="24"/>
          <w:szCs w:val="24"/>
          <w:lang w:val="en-US" w:eastAsia="zh-CN"/>
        </w:rPr>
        <w:t>九、争议的解决</w:t>
      </w:r>
    </w:p>
    <w:p w14:paraId="63DF6276">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kern w:val="0"/>
          <w:sz w:val="24"/>
          <w:szCs w:val="24"/>
          <w:lang w:val="en-US" w:eastAsia="zh-CN"/>
        </w:rPr>
      </w:pPr>
      <w:r>
        <w:rPr>
          <w:rFonts w:hint="eastAsia" w:ascii="宋体" w:hAnsi="宋体" w:eastAsia="宋体" w:cs="宋体"/>
          <w:sz w:val="24"/>
          <w:szCs w:val="24"/>
        </w:rPr>
        <w:t>双方在执行合同中所发生的一切争议，应通过协商解决。如协商不成，可向合同签订地法院起诉，合同签订地在此约定为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南京</w:t>
      </w:r>
      <w:r>
        <w:rPr>
          <w:rFonts w:hint="eastAsia" w:ascii="宋体" w:hAnsi="宋体" w:eastAsia="宋体" w:cs="宋体"/>
          <w:sz w:val="24"/>
          <w:szCs w:val="24"/>
          <w:u w:val="single"/>
        </w:rPr>
        <w:t xml:space="preserve"> </w:t>
      </w:r>
      <w:r>
        <w:rPr>
          <w:rStyle w:val="27"/>
          <w:rFonts w:hint="eastAsia" w:ascii="宋体" w:hAnsi="宋体" w:eastAsia="宋体" w:cs="宋体"/>
          <w:kern w:val="0"/>
          <w:sz w:val="24"/>
          <w:szCs w:val="24"/>
          <w:lang w:val="en-US" w:eastAsia="zh-CN"/>
        </w:rPr>
        <w:t>。</w:t>
      </w:r>
    </w:p>
    <w:p w14:paraId="32DE2057">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p>
    <w:p w14:paraId="36891365">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r>
        <w:rPr>
          <w:rStyle w:val="27"/>
          <w:rFonts w:hint="eastAsia" w:ascii="宋体" w:hAnsi="宋体" w:eastAsia="宋体" w:cs="宋体"/>
          <w:b/>
          <w:bCs/>
          <w:kern w:val="0"/>
          <w:sz w:val="24"/>
          <w:szCs w:val="24"/>
          <w:lang w:val="en-US" w:eastAsia="zh-CN"/>
        </w:rPr>
        <w:t>十、其他</w:t>
      </w:r>
    </w:p>
    <w:p w14:paraId="17514794">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val="0"/>
          <w:kern w:val="0"/>
          <w:sz w:val="24"/>
          <w:szCs w:val="24"/>
          <w:lang w:val="en-US" w:eastAsia="zh-CN"/>
        </w:rPr>
      </w:pPr>
      <w:r>
        <w:rPr>
          <w:rStyle w:val="27"/>
          <w:rFonts w:hint="eastAsia" w:ascii="宋体" w:hAnsi="宋体" w:eastAsia="宋体" w:cs="宋体"/>
          <w:b w:val="0"/>
          <w:bCs w:val="0"/>
          <w:kern w:val="0"/>
          <w:sz w:val="24"/>
          <w:szCs w:val="24"/>
          <w:lang w:val="en-US" w:eastAsia="zh-CN"/>
        </w:rPr>
        <w:t>本合同所有附件、招标文件、投标文件、中标通知书均为合同的有效组成部分，与本合同具有同等法律效力。</w:t>
      </w:r>
    </w:p>
    <w:p w14:paraId="2FB811C4">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val="0"/>
          <w:kern w:val="0"/>
          <w:sz w:val="24"/>
          <w:szCs w:val="24"/>
          <w:lang w:val="en-US" w:eastAsia="zh-CN"/>
        </w:rPr>
      </w:pPr>
      <w:r>
        <w:rPr>
          <w:rStyle w:val="27"/>
          <w:rFonts w:hint="eastAsia" w:ascii="宋体" w:hAnsi="宋体" w:eastAsia="宋体" w:cs="宋体"/>
          <w:b w:val="0"/>
          <w:bCs w:val="0"/>
          <w:kern w:val="0"/>
          <w:sz w:val="24"/>
          <w:szCs w:val="24"/>
          <w:lang w:val="en-US" w:eastAsia="zh-CN"/>
        </w:rPr>
        <w:t>如一方地址、电话、传真号码有变更，应在变更当日内书面通知对方，否则，应承担相应责任。</w:t>
      </w:r>
    </w:p>
    <w:p w14:paraId="758BACEC">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b w:val="0"/>
          <w:bCs w:val="0"/>
          <w:kern w:val="0"/>
          <w:sz w:val="24"/>
          <w:szCs w:val="24"/>
          <w:lang w:val="en-US" w:eastAsia="zh-CN"/>
        </w:rPr>
      </w:pPr>
      <w:r>
        <w:rPr>
          <w:rStyle w:val="27"/>
          <w:rFonts w:hint="eastAsia" w:ascii="宋体" w:hAnsi="宋体" w:eastAsia="宋体" w:cs="宋体"/>
          <w:b w:val="0"/>
          <w:bCs w:val="0"/>
          <w:kern w:val="0"/>
          <w:sz w:val="24"/>
          <w:szCs w:val="24"/>
          <w:lang w:val="en-US" w:eastAsia="zh-CN"/>
        </w:rPr>
        <w:t>除甲方事先书面同意外，乙方不得部分或全部转让其应履行的合同项下的义务。</w:t>
      </w:r>
    </w:p>
    <w:p w14:paraId="22CBACB5">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p>
    <w:p w14:paraId="60E3E8E8">
      <w:pPr>
        <w:keepNext w:val="0"/>
        <w:keepLines w:val="0"/>
        <w:pageBreakBefore w:val="0"/>
        <w:widowControl w:val="0"/>
        <w:kinsoku/>
        <w:wordWrap/>
        <w:overflowPunct/>
        <w:topLinePunct w:val="0"/>
        <w:autoSpaceDE/>
        <w:autoSpaceDN/>
        <w:bidi w:val="0"/>
        <w:adjustRightInd/>
        <w:snapToGrid w:val="0"/>
        <w:spacing w:line="360" w:lineRule="auto"/>
        <w:textAlignment w:val="auto"/>
        <w:rPr>
          <w:rStyle w:val="27"/>
          <w:rFonts w:hint="eastAsia" w:ascii="宋体" w:hAnsi="宋体" w:eastAsia="宋体" w:cs="宋体"/>
          <w:b/>
          <w:bCs/>
          <w:kern w:val="0"/>
          <w:sz w:val="24"/>
          <w:szCs w:val="24"/>
          <w:lang w:val="en-US" w:eastAsia="zh-CN"/>
        </w:rPr>
      </w:pPr>
      <w:r>
        <w:rPr>
          <w:rStyle w:val="27"/>
          <w:rFonts w:hint="eastAsia" w:ascii="宋体" w:hAnsi="宋体" w:eastAsia="宋体" w:cs="宋体"/>
          <w:b/>
          <w:bCs/>
          <w:kern w:val="0"/>
          <w:sz w:val="24"/>
          <w:szCs w:val="24"/>
          <w:lang w:val="en-US" w:eastAsia="zh-CN"/>
        </w:rPr>
        <w:t>十一、合同生效</w:t>
      </w:r>
    </w:p>
    <w:p w14:paraId="2CF66BFF">
      <w:pPr>
        <w:keepNext w:val="0"/>
        <w:keepLines w:val="0"/>
        <w:pageBreakBefore w:val="0"/>
        <w:widowControl w:val="0"/>
        <w:kinsoku/>
        <w:wordWrap/>
        <w:overflowPunct/>
        <w:topLinePunct w:val="0"/>
        <w:autoSpaceDE/>
        <w:autoSpaceDN/>
        <w:bidi w:val="0"/>
        <w:adjustRightInd/>
        <w:snapToGrid w:val="0"/>
        <w:spacing w:line="360" w:lineRule="auto"/>
        <w:ind w:firstLine="420" w:firstLineChars="0"/>
        <w:textAlignment w:val="auto"/>
        <w:rPr>
          <w:rStyle w:val="27"/>
          <w:rFonts w:hint="eastAsia" w:ascii="宋体" w:hAnsi="宋体" w:eastAsia="宋体" w:cs="宋体"/>
          <w:kern w:val="0"/>
          <w:sz w:val="24"/>
          <w:szCs w:val="24"/>
          <w:lang w:val="en-US" w:eastAsia="zh-CN"/>
        </w:rPr>
      </w:pPr>
      <w:r>
        <w:rPr>
          <w:rStyle w:val="27"/>
          <w:rFonts w:hint="eastAsia" w:ascii="宋体" w:hAnsi="宋体" w:eastAsia="宋体" w:cs="宋体"/>
          <w:kern w:val="0"/>
          <w:sz w:val="24"/>
          <w:szCs w:val="24"/>
          <w:lang w:val="en-US" w:eastAsia="zh-CN"/>
        </w:rPr>
        <w:t>本合同一式两份，甲乙双方各执一份，经双方法定代表人或授权委托代表人签字并加盖单位公章后生效。合同执行期内，甲乙双方均不得随意变更或解除合同。合同如有未尽事宜，须经双方共同协商，如达成补充协议，补充协议与本合同具有同等效力。</w:t>
      </w:r>
    </w:p>
    <w:p w14:paraId="20A5AB7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kern w:val="0"/>
          <w:sz w:val="24"/>
          <w:szCs w:val="24"/>
          <w:lang w:bidi="ar"/>
        </w:rPr>
      </w:pPr>
    </w:p>
    <w:p w14:paraId="0EAEA09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甲方（盖章）：南京特殊教育师范学院</w:t>
      </w:r>
    </w:p>
    <w:p w14:paraId="5C52629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5F9E2AF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51E3A20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法定代表人（签字）：</w:t>
      </w:r>
    </w:p>
    <w:p w14:paraId="5B8D805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    年   月   日</w:t>
      </w:r>
    </w:p>
    <w:p w14:paraId="5E806B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FA08A6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乙方（盖章）：</w:t>
      </w:r>
    </w:p>
    <w:p w14:paraId="4CEAD58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680D9D5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开户银行：     </w:t>
      </w:r>
    </w:p>
    <w:p w14:paraId="6D59E68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法定代表人（签字）：</w:t>
      </w:r>
    </w:p>
    <w:p w14:paraId="5111F9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时间：    年   月   日</w:t>
      </w:r>
    </w:p>
    <w:p w14:paraId="3ED988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629807"/>
    </w:sdtPr>
    <w:sdtEndPr>
      <w:rPr>
        <w:rFonts w:ascii="Times New Roman" w:hAnsi="Times New Roman" w:cs="Times New Roman"/>
        <w:sz w:val="24"/>
        <w:szCs w:val="24"/>
      </w:rPr>
    </w:sdtEndPr>
    <w:sdtContent>
      <w:p w14:paraId="675D0ABD">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7</w:t>
        </w:r>
        <w:r>
          <w:rPr>
            <w:rFonts w:ascii="Times New Roman" w:hAnsi="Times New Roman" w:cs="Times New Roman"/>
            <w:sz w:val="24"/>
            <w:szCs w:val="24"/>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1C63">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lMjI5N2Y0NDU0NGNiZmNiZDI0ZWY1ZGY3MTE1ZjEifQ=="/>
  </w:docVars>
  <w:rsids>
    <w:rsidRoot w:val="000D2E8F"/>
    <w:rsid w:val="00001EDF"/>
    <w:rsid w:val="000063C8"/>
    <w:rsid w:val="00010569"/>
    <w:rsid w:val="00042807"/>
    <w:rsid w:val="000428F6"/>
    <w:rsid w:val="00045394"/>
    <w:rsid w:val="000701F2"/>
    <w:rsid w:val="00085A03"/>
    <w:rsid w:val="0009580A"/>
    <w:rsid w:val="000C28C1"/>
    <w:rsid w:val="000D2E8F"/>
    <w:rsid w:val="000E525A"/>
    <w:rsid w:val="00102D81"/>
    <w:rsid w:val="001306D2"/>
    <w:rsid w:val="0013386A"/>
    <w:rsid w:val="00137C45"/>
    <w:rsid w:val="00140C0B"/>
    <w:rsid w:val="0015047B"/>
    <w:rsid w:val="00167B7D"/>
    <w:rsid w:val="00167C23"/>
    <w:rsid w:val="001879F0"/>
    <w:rsid w:val="00192C3E"/>
    <w:rsid w:val="001C02D8"/>
    <w:rsid w:val="001C0F3F"/>
    <w:rsid w:val="001C3559"/>
    <w:rsid w:val="001C7730"/>
    <w:rsid w:val="001D5456"/>
    <w:rsid w:val="002023C1"/>
    <w:rsid w:val="00203727"/>
    <w:rsid w:val="00213C70"/>
    <w:rsid w:val="00216CC5"/>
    <w:rsid w:val="00223ED5"/>
    <w:rsid w:val="00225072"/>
    <w:rsid w:val="002576CA"/>
    <w:rsid w:val="002628E1"/>
    <w:rsid w:val="002764B8"/>
    <w:rsid w:val="0027672D"/>
    <w:rsid w:val="00282826"/>
    <w:rsid w:val="00296DB5"/>
    <w:rsid w:val="002A7231"/>
    <w:rsid w:val="002B11B4"/>
    <w:rsid w:val="002D5CC1"/>
    <w:rsid w:val="002E7EB8"/>
    <w:rsid w:val="002F43D0"/>
    <w:rsid w:val="00300544"/>
    <w:rsid w:val="00305E7E"/>
    <w:rsid w:val="00340ACC"/>
    <w:rsid w:val="00353B44"/>
    <w:rsid w:val="00363BD9"/>
    <w:rsid w:val="0037283C"/>
    <w:rsid w:val="00392E61"/>
    <w:rsid w:val="003975E9"/>
    <w:rsid w:val="003A096B"/>
    <w:rsid w:val="003A157A"/>
    <w:rsid w:val="003A60AC"/>
    <w:rsid w:val="003C0395"/>
    <w:rsid w:val="003C25AE"/>
    <w:rsid w:val="003C6A7B"/>
    <w:rsid w:val="003D7912"/>
    <w:rsid w:val="00403237"/>
    <w:rsid w:val="00403428"/>
    <w:rsid w:val="004047EF"/>
    <w:rsid w:val="00433761"/>
    <w:rsid w:val="004411E4"/>
    <w:rsid w:val="00443893"/>
    <w:rsid w:val="004474D0"/>
    <w:rsid w:val="0048705F"/>
    <w:rsid w:val="00494A6C"/>
    <w:rsid w:val="0049771F"/>
    <w:rsid w:val="004A419C"/>
    <w:rsid w:val="004B01A1"/>
    <w:rsid w:val="004B278F"/>
    <w:rsid w:val="004B3118"/>
    <w:rsid w:val="004D13EA"/>
    <w:rsid w:val="004E031A"/>
    <w:rsid w:val="004E3B63"/>
    <w:rsid w:val="004E71B9"/>
    <w:rsid w:val="00505073"/>
    <w:rsid w:val="00517972"/>
    <w:rsid w:val="0052103A"/>
    <w:rsid w:val="00527CBE"/>
    <w:rsid w:val="00542E34"/>
    <w:rsid w:val="00545766"/>
    <w:rsid w:val="00547484"/>
    <w:rsid w:val="005557A1"/>
    <w:rsid w:val="00570232"/>
    <w:rsid w:val="00571A8D"/>
    <w:rsid w:val="005A15C9"/>
    <w:rsid w:val="005A25CC"/>
    <w:rsid w:val="005A3354"/>
    <w:rsid w:val="005A5F96"/>
    <w:rsid w:val="005A796D"/>
    <w:rsid w:val="005B38B1"/>
    <w:rsid w:val="005C4429"/>
    <w:rsid w:val="005C4BA8"/>
    <w:rsid w:val="005E29A8"/>
    <w:rsid w:val="005F53A8"/>
    <w:rsid w:val="006069D1"/>
    <w:rsid w:val="006150D4"/>
    <w:rsid w:val="006219D1"/>
    <w:rsid w:val="00623514"/>
    <w:rsid w:val="00633A5D"/>
    <w:rsid w:val="00637E8A"/>
    <w:rsid w:val="00656407"/>
    <w:rsid w:val="006611D9"/>
    <w:rsid w:val="0068409E"/>
    <w:rsid w:val="00692139"/>
    <w:rsid w:val="006A6D58"/>
    <w:rsid w:val="006E067B"/>
    <w:rsid w:val="006E517A"/>
    <w:rsid w:val="006F2888"/>
    <w:rsid w:val="007256E3"/>
    <w:rsid w:val="00725C32"/>
    <w:rsid w:val="00766891"/>
    <w:rsid w:val="007706CD"/>
    <w:rsid w:val="0077343F"/>
    <w:rsid w:val="00780F89"/>
    <w:rsid w:val="00790EC2"/>
    <w:rsid w:val="007952B0"/>
    <w:rsid w:val="007A78B8"/>
    <w:rsid w:val="007B1655"/>
    <w:rsid w:val="007B44DC"/>
    <w:rsid w:val="007D063C"/>
    <w:rsid w:val="007F6E76"/>
    <w:rsid w:val="008346AB"/>
    <w:rsid w:val="00845447"/>
    <w:rsid w:val="00852DDA"/>
    <w:rsid w:val="008559DE"/>
    <w:rsid w:val="00863A33"/>
    <w:rsid w:val="00867789"/>
    <w:rsid w:val="00892C3D"/>
    <w:rsid w:val="008A7C0D"/>
    <w:rsid w:val="008B6970"/>
    <w:rsid w:val="008B69A6"/>
    <w:rsid w:val="008E7579"/>
    <w:rsid w:val="008F5940"/>
    <w:rsid w:val="00921563"/>
    <w:rsid w:val="0093004A"/>
    <w:rsid w:val="00936688"/>
    <w:rsid w:val="009452A3"/>
    <w:rsid w:val="0098384B"/>
    <w:rsid w:val="00991155"/>
    <w:rsid w:val="009B2B39"/>
    <w:rsid w:val="009C25D1"/>
    <w:rsid w:val="009D0601"/>
    <w:rsid w:val="009D687D"/>
    <w:rsid w:val="009D7808"/>
    <w:rsid w:val="00A27F02"/>
    <w:rsid w:val="00A420C6"/>
    <w:rsid w:val="00A45A47"/>
    <w:rsid w:val="00A51EB2"/>
    <w:rsid w:val="00A7093A"/>
    <w:rsid w:val="00A73940"/>
    <w:rsid w:val="00A7606F"/>
    <w:rsid w:val="00A82232"/>
    <w:rsid w:val="00A82A03"/>
    <w:rsid w:val="00AA3253"/>
    <w:rsid w:val="00AB6253"/>
    <w:rsid w:val="00AD35FA"/>
    <w:rsid w:val="00AE4B88"/>
    <w:rsid w:val="00B03E7A"/>
    <w:rsid w:val="00B33080"/>
    <w:rsid w:val="00B34A88"/>
    <w:rsid w:val="00B40738"/>
    <w:rsid w:val="00B45983"/>
    <w:rsid w:val="00B50196"/>
    <w:rsid w:val="00B72293"/>
    <w:rsid w:val="00B738EE"/>
    <w:rsid w:val="00B76E3A"/>
    <w:rsid w:val="00B919D4"/>
    <w:rsid w:val="00B9419E"/>
    <w:rsid w:val="00B97818"/>
    <w:rsid w:val="00BA3C4E"/>
    <w:rsid w:val="00BA4E66"/>
    <w:rsid w:val="00BB2D23"/>
    <w:rsid w:val="00BB43A7"/>
    <w:rsid w:val="00C02B7C"/>
    <w:rsid w:val="00C136F9"/>
    <w:rsid w:val="00C15C05"/>
    <w:rsid w:val="00C62A0F"/>
    <w:rsid w:val="00C73EEF"/>
    <w:rsid w:val="00C8240F"/>
    <w:rsid w:val="00C82C5B"/>
    <w:rsid w:val="00CA0AC4"/>
    <w:rsid w:val="00CB6FFA"/>
    <w:rsid w:val="00CC39DC"/>
    <w:rsid w:val="00CC6B83"/>
    <w:rsid w:val="00CD407B"/>
    <w:rsid w:val="00CE3ECB"/>
    <w:rsid w:val="00CF072E"/>
    <w:rsid w:val="00D0319E"/>
    <w:rsid w:val="00D10D9E"/>
    <w:rsid w:val="00D133A7"/>
    <w:rsid w:val="00D136F3"/>
    <w:rsid w:val="00D24641"/>
    <w:rsid w:val="00D3632C"/>
    <w:rsid w:val="00D44ED1"/>
    <w:rsid w:val="00D52ED5"/>
    <w:rsid w:val="00D72C59"/>
    <w:rsid w:val="00D81F76"/>
    <w:rsid w:val="00D83C41"/>
    <w:rsid w:val="00D8586B"/>
    <w:rsid w:val="00DA3574"/>
    <w:rsid w:val="00DB04C2"/>
    <w:rsid w:val="00DB0B73"/>
    <w:rsid w:val="00DB2ADF"/>
    <w:rsid w:val="00DB2F3F"/>
    <w:rsid w:val="00DC48BE"/>
    <w:rsid w:val="00E30C90"/>
    <w:rsid w:val="00E34310"/>
    <w:rsid w:val="00E654AA"/>
    <w:rsid w:val="00EC1B8F"/>
    <w:rsid w:val="00ED173A"/>
    <w:rsid w:val="00ED55AC"/>
    <w:rsid w:val="00F0395A"/>
    <w:rsid w:val="00F10097"/>
    <w:rsid w:val="00F23A00"/>
    <w:rsid w:val="00F51584"/>
    <w:rsid w:val="00F53F70"/>
    <w:rsid w:val="00F54FCF"/>
    <w:rsid w:val="00F62B94"/>
    <w:rsid w:val="00F67B3F"/>
    <w:rsid w:val="00F7151A"/>
    <w:rsid w:val="00F866FB"/>
    <w:rsid w:val="00FA34C4"/>
    <w:rsid w:val="00FB13CA"/>
    <w:rsid w:val="00FC48CE"/>
    <w:rsid w:val="0115295B"/>
    <w:rsid w:val="01DB7E89"/>
    <w:rsid w:val="04545D1C"/>
    <w:rsid w:val="091404C0"/>
    <w:rsid w:val="0F6E4136"/>
    <w:rsid w:val="0F9E555D"/>
    <w:rsid w:val="113B0B82"/>
    <w:rsid w:val="134C478E"/>
    <w:rsid w:val="13C72FFB"/>
    <w:rsid w:val="14F733D4"/>
    <w:rsid w:val="15BF46FE"/>
    <w:rsid w:val="1BC24423"/>
    <w:rsid w:val="1D894FC9"/>
    <w:rsid w:val="1FC1071A"/>
    <w:rsid w:val="251B4B61"/>
    <w:rsid w:val="2F493648"/>
    <w:rsid w:val="2FC766D0"/>
    <w:rsid w:val="31556506"/>
    <w:rsid w:val="33167D6E"/>
    <w:rsid w:val="33D95F9A"/>
    <w:rsid w:val="34705383"/>
    <w:rsid w:val="370E61C9"/>
    <w:rsid w:val="38324E0E"/>
    <w:rsid w:val="3ABF6721"/>
    <w:rsid w:val="3EF52FE2"/>
    <w:rsid w:val="3F7B6278"/>
    <w:rsid w:val="418D1221"/>
    <w:rsid w:val="42CB6BCE"/>
    <w:rsid w:val="42E4724C"/>
    <w:rsid w:val="48194C80"/>
    <w:rsid w:val="495B4832"/>
    <w:rsid w:val="4B8842D0"/>
    <w:rsid w:val="4F8B7990"/>
    <w:rsid w:val="506B379F"/>
    <w:rsid w:val="54B35714"/>
    <w:rsid w:val="54D06D1F"/>
    <w:rsid w:val="575225AD"/>
    <w:rsid w:val="57D61E46"/>
    <w:rsid w:val="5A043C0D"/>
    <w:rsid w:val="5B2A3EF8"/>
    <w:rsid w:val="5C011F7B"/>
    <w:rsid w:val="5CC20BEA"/>
    <w:rsid w:val="5D403458"/>
    <w:rsid w:val="5DCA244C"/>
    <w:rsid w:val="60FE032F"/>
    <w:rsid w:val="681335C0"/>
    <w:rsid w:val="6D6D773D"/>
    <w:rsid w:val="6EDC1816"/>
    <w:rsid w:val="6F4B0F13"/>
    <w:rsid w:val="701A1A0D"/>
    <w:rsid w:val="717B6DEB"/>
    <w:rsid w:val="739E5728"/>
    <w:rsid w:val="75C606B8"/>
    <w:rsid w:val="77185723"/>
    <w:rsid w:val="77255DAB"/>
    <w:rsid w:val="7D59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unhideWhenUsed/>
    <w:qFormat/>
    <w:uiPriority w:val="0"/>
    <w:pPr>
      <w:keepNext/>
      <w:keepLines/>
      <w:spacing w:before="140" w:after="140" w:line="360" w:lineRule="auto"/>
      <w:outlineLvl w:val="2"/>
    </w:pPr>
    <w:rPr>
      <w:rFonts w:ascii="Calibri" w:hAnsi="Calibri" w:eastAsia="宋体" w:cs="Times New Roman"/>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ind w:firstLine="480" w:firstLineChars="200"/>
    </w:pPr>
  </w:style>
  <w:style w:type="paragraph" w:styleId="5">
    <w:name w:val="annotation text"/>
    <w:basedOn w:val="1"/>
    <w:link w:val="19"/>
    <w:qFormat/>
    <w:uiPriority w:val="0"/>
    <w:pPr>
      <w:jc w:val="left"/>
    </w:pPr>
  </w:style>
  <w:style w:type="paragraph" w:styleId="6">
    <w:name w:val="Balloon Text"/>
    <w:basedOn w:val="1"/>
    <w:link w:val="18"/>
    <w:autoRedefine/>
    <w:qFormat/>
    <w:uiPriority w:val="0"/>
    <w:rPr>
      <w:sz w:val="18"/>
      <w:szCs w:val="18"/>
    </w:rPr>
  </w:style>
  <w:style w:type="paragraph" w:styleId="7">
    <w:name w:val="footer"/>
    <w:basedOn w:val="1"/>
    <w:link w:val="17"/>
    <w:autoRedefine/>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annotation subject"/>
    <w:basedOn w:val="5"/>
    <w:next w:val="5"/>
    <w:link w:val="20"/>
    <w:qFormat/>
    <w:uiPriority w:val="0"/>
    <w:rPr>
      <w:b/>
      <w:bCs/>
    </w:rPr>
  </w:style>
  <w:style w:type="table" w:styleId="12">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annotation reference"/>
    <w:basedOn w:val="13"/>
    <w:autoRedefine/>
    <w:qFormat/>
    <w:uiPriority w:val="0"/>
    <w:rPr>
      <w:sz w:val="21"/>
      <w:szCs w:val="21"/>
    </w:rPr>
  </w:style>
  <w:style w:type="character" w:customStyle="1" w:styleId="16">
    <w:name w:val="页眉 字符"/>
    <w:basedOn w:val="13"/>
    <w:link w:val="8"/>
    <w:autoRedefine/>
    <w:qFormat/>
    <w:uiPriority w:val="0"/>
    <w:rPr>
      <w:rFonts w:asciiTheme="minorHAnsi" w:hAnsiTheme="minorHAnsi" w:eastAsiaTheme="minorEastAsia" w:cstheme="minorBidi"/>
      <w:kern w:val="2"/>
      <w:sz w:val="18"/>
      <w:szCs w:val="18"/>
    </w:rPr>
  </w:style>
  <w:style w:type="character" w:customStyle="1" w:styleId="17">
    <w:name w:val="页脚 字符"/>
    <w:basedOn w:val="13"/>
    <w:link w:val="7"/>
    <w:autoRedefine/>
    <w:qFormat/>
    <w:uiPriority w:val="0"/>
    <w:rPr>
      <w:rFonts w:asciiTheme="minorHAnsi" w:hAnsiTheme="minorHAnsi" w:eastAsiaTheme="minorEastAsia" w:cstheme="minorBidi"/>
      <w:kern w:val="2"/>
      <w:sz w:val="18"/>
      <w:szCs w:val="18"/>
    </w:rPr>
  </w:style>
  <w:style w:type="character" w:customStyle="1" w:styleId="18">
    <w:name w:val="批注框文本 字符"/>
    <w:basedOn w:val="13"/>
    <w:link w:val="6"/>
    <w:autoRedefine/>
    <w:qFormat/>
    <w:uiPriority w:val="0"/>
    <w:rPr>
      <w:rFonts w:asciiTheme="minorHAnsi" w:hAnsiTheme="minorHAnsi" w:eastAsiaTheme="minorEastAsia" w:cstheme="minorBidi"/>
      <w:kern w:val="2"/>
      <w:sz w:val="18"/>
      <w:szCs w:val="18"/>
    </w:rPr>
  </w:style>
  <w:style w:type="character" w:customStyle="1" w:styleId="19">
    <w:name w:val="批注文字 字符"/>
    <w:basedOn w:val="13"/>
    <w:link w:val="5"/>
    <w:autoRedefine/>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0"/>
    <w:autoRedefine/>
    <w:qFormat/>
    <w:uiPriority w:val="0"/>
    <w:rPr>
      <w:rFonts w:asciiTheme="minorHAnsi" w:hAnsiTheme="minorHAnsi" w:eastAsiaTheme="minorEastAsia" w:cstheme="minorBidi"/>
      <w:b/>
      <w:bCs/>
      <w:kern w:val="2"/>
      <w:sz w:val="21"/>
      <w:szCs w:val="24"/>
    </w:rPr>
  </w:style>
  <w:style w:type="character" w:customStyle="1" w:styleId="21">
    <w:name w:val="标题 1 字符"/>
    <w:basedOn w:val="13"/>
    <w:link w:val="3"/>
    <w:autoRedefine/>
    <w:qFormat/>
    <w:uiPriority w:val="9"/>
    <w:rPr>
      <w:b/>
      <w:bCs/>
      <w:kern w:val="44"/>
      <w:sz w:val="44"/>
      <w:szCs w:val="44"/>
    </w:rPr>
  </w:style>
  <w:style w:type="paragraph" w:styleId="22">
    <w:name w:val="List Paragraph"/>
    <w:basedOn w:val="1"/>
    <w:autoRedefine/>
    <w:qFormat/>
    <w:uiPriority w:val="34"/>
    <w:pPr>
      <w:ind w:firstLine="420" w:firstLineChars="200"/>
    </w:pPr>
    <w:rPr>
      <w:rFonts w:ascii="Times New Roman" w:hAnsi="Times New Roman" w:eastAsia="宋体" w:cs="Times New Roman"/>
      <w:szCs w:val="21"/>
    </w:rPr>
  </w:style>
  <w:style w:type="paragraph" w:customStyle="1" w:styleId="23">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font01"/>
    <w:basedOn w:val="13"/>
    <w:qFormat/>
    <w:uiPriority w:val="0"/>
    <w:rPr>
      <w:rFonts w:hint="eastAsia" w:ascii="宋体" w:hAnsi="宋体" w:eastAsia="宋体" w:cs="宋体"/>
      <w:color w:val="000000"/>
      <w:sz w:val="22"/>
      <w:szCs w:val="22"/>
      <w:u w:val="none"/>
    </w:rPr>
  </w:style>
  <w:style w:type="character" w:customStyle="1" w:styleId="25">
    <w:name w:val="font21"/>
    <w:basedOn w:val="13"/>
    <w:qFormat/>
    <w:uiPriority w:val="0"/>
    <w:rPr>
      <w:rFonts w:hint="eastAsia" w:ascii="宋体" w:hAnsi="宋体" w:eastAsia="宋体" w:cs="宋体"/>
      <w:color w:val="000000"/>
      <w:sz w:val="22"/>
      <w:szCs w:val="22"/>
      <w:u w:val="none"/>
    </w:rPr>
  </w:style>
  <w:style w:type="character" w:customStyle="1" w:styleId="26">
    <w:name w:val="font11"/>
    <w:basedOn w:val="13"/>
    <w:qFormat/>
    <w:uiPriority w:val="0"/>
    <w:rPr>
      <w:rFonts w:hint="eastAsia" w:ascii="宋体" w:hAnsi="宋体" w:eastAsia="宋体" w:cs="宋体"/>
      <w:color w:val="000000"/>
      <w:sz w:val="22"/>
      <w:szCs w:val="22"/>
      <w:u w:val="none"/>
    </w:rPr>
  </w:style>
  <w:style w:type="character" w:customStyle="1" w:styleId="27">
    <w:name w:val="NormalCharacter"/>
    <w:qFormat/>
    <w:uiPriority w:val="0"/>
  </w:style>
  <w:style w:type="paragraph" w:customStyle="1" w:styleId="2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2318</Words>
  <Characters>2348</Characters>
  <Lines>11</Lines>
  <Paragraphs>3</Paragraphs>
  <TotalTime>1</TotalTime>
  <ScaleCrop>false</ScaleCrop>
  <LinksUpToDate>false</LinksUpToDate>
  <CharactersWithSpaces>2574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2024-04-12T06:31:00Z</dcterms:created>
  <dc:creator>59418</dc:creator>
  <cp:lastModifiedBy>之后</cp:lastModifiedBy>
  <cp:lastPrinted>2024-04-11T07:05:00Z</cp:lastPrinted>
  <dcterms:modified xsi:type="dcterms:W3CDTF">2025-12-19T02:25:40Z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3A68210BEBD84BB3AE6639BB2A85F065_13</vt:lpwstr>
  </property>
  <property fmtid="{D5CDD505-2E9C-101B-9397-08002B2CF9AE}" pid="4" name="KSOTemplateDocerSaveRecord">
    <vt:lpwstr>eyJoZGlkIjoiNDdiYTJjYzgzNGY0ZGEzOWMxYTQ0NWVkZWNmNWU1MTAiLCJ1c2VySWQiOiIyOTczMDQ2NjAifQ==</vt:lpwstr>
  </property>
</Properties>
</file>